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15" w:rsidRDefault="000F6A11" w:rsidP="00ED21A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西南医科大学2019年诚聘海内外英才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西南医科大学是四川省省属普通高等院校，坐落在川滇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黔渝结合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部的泸州。泸州，是“国家历史文化名城”“全国双拥模范城”“国家卫生城市”“中国优秀旅游城市”“国家森林城市”“国家园林城市”“全国文明城市”。</w:t>
      </w:r>
    </w:p>
    <w:p w:rsidR="00820315" w:rsidRDefault="000F6A11">
      <w:pPr>
        <w:spacing w:line="540" w:lineRule="exact"/>
        <w:ind w:firstLine="57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西南医科大学以医学为主，理学、管理学、法学等多学科协调发展。现有硕士学位一级学科授权点7个，专业学位9个，省部级重点学科7个；有30个普通本科专业，其中国家级特色专业3个，本科第一批次招生专业13个，双学位专业5个；是国家第一批“卓越医生教育培养计划项目” “临床医学专业综合改革” “临床医学硕士专业学位研究生培养模式改革”试点高校；是四川省卓越法律人才教育培养计划示范性实践教学基地；是“四川2011心血管疾病防治协同创新中心”牵头单位。学校现有教育部重点实验室、国家级博士后科研工作站、国家药物临床试验机构（GCP）、四川省科技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厅重点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实验室、省级院士工作站等14个省部级重点科研平台，有省级大学科技园1个，省、厅级科研团队18个，有三所直属三甲附属医院（具体信息可查阅我校官网）。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现面向海内外诚聘各类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u w:val="single"/>
        </w:rPr>
        <w:t>博士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英才（年龄一般不超过45周岁），具体如下：</w:t>
      </w:r>
    </w:p>
    <w:p w:rsidR="00820315" w:rsidRDefault="000F6A11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一、需求专业</w:t>
      </w:r>
    </w:p>
    <w:tbl>
      <w:tblPr>
        <w:tblStyle w:val="ab"/>
        <w:tblW w:w="8480" w:type="dxa"/>
        <w:tblLayout w:type="fixed"/>
        <w:tblLook w:val="04A0" w:firstRow="1" w:lastRow="0" w:firstColumn="1" w:lastColumn="0" w:noHBand="0" w:noVBand="1"/>
      </w:tblPr>
      <w:tblGrid>
        <w:gridCol w:w="1007"/>
        <w:gridCol w:w="2102"/>
        <w:gridCol w:w="5371"/>
      </w:tblGrid>
      <w:tr w:rsidR="00820315">
        <w:trPr>
          <w:trHeight w:val="675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需求专业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</w:p>
          <w:p w:rsidR="00820315" w:rsidRDefault="000F6A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（含一级学科覆盖的二、三级专业）</w:t>
            </w:r>
          </w:p>
        </w:tc>
      </w:tr>
      <w:tr w:rsidR="00820315">
        <w:trPr>
          <w:trHeight w:val="1299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医学类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基础医学、临床医学、口腔医学、公共卫生与预防医学、中医学、中西医结合、药学、中药学、护理学、医学技术</w:t>
            </w:r>
          </w:p>
        </w:tc>
      </w:tr>
      <w:tr w:rsidR="00820315">
        <w:trPr>
          <w:trHeight w:val="768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法学、马克思主义理论、政治学、社会学</w:t>
            </w:r>
          </w:p>
        </w:tc>
      </w:tr>
      <w:tr w:rsidR="00820315">
        <w:trPr>
          <w:trHeight w:val="768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管理学类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left"/>
            </w:pPr>
            <w:r>
              <w:rPr>
                <w:rFonts w:hint="eastAsia"/>
              </w:rPr>
              <w:t>管理科学与工程、工商管理、公共管理、图书情报与档案管理</w:t>
            </w:r>
          </w:p>
        </w:tc>
      </w:tr>
      <w:tr w:rsidR="00820315">
        <w:trPr>
          <w:trHeight w:val="768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教育学类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教育学、心理学、体育学</w:t>
            </w:r>
          </w:p>
        </w:tc>
      </w:tr>
      <w:tr w:rsidR="00820315">
        <w:trPr>
          <w:trHeight w:val="768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文学类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外国语言文学（英语方向）、中国语言文学</w:t>
            </w:r>
          </w:p>
        </w:tc>
      </w:tr>
      <w:tr w:rsidR="00820315">
        <w:trPr>
          <w:trHeight w:val="735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理学类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数学、物理学、化学、生物学、统计学</w:t>
            </w:r>
          </w:p>
        </w:tc>
      </w:tr>
      <w:tr w:rsidR="00820315">
        <w:trPr>
          <w:trHeight w:val="1126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proofErr w:type="gramStart"/>
            <w:r>
              <w:rPr>
                <w:rFonts w:hint="eastAsia"/>
              </w:rPr>
              <w:t>工学类</w:t>
            </w:r>
            <w:proofErr w:type="gramEnd"/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left"/>
            </w:pPr>
            <w:r>
              <w:rPr>
                <w:rFonts w:hint="eastAsia"/>
              </w:rPr>
              <w:t>光学工程、生物医学工程、计算机科学与技术、信息与通信工程、电子科学与技术、软件工程、生物工程、食品科学与工程</w:t>
            </w:r>
          </w:p>
        </w:tc>
      </w:tr>
      <w:tr w:rsidR="00820315">
        <w:trPr>
          <w:trHeight w:val="1166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哲学类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</w:tr>
      <w:tr w:rsidR="00820315">
        <w:trPr>
          <w:trHeight w:val="1166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经济学类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理论经济学、应用经济学</w:t>
            </w:r>
          </w:p>
        </w:tc>
      </w:tr>
      <w:tr w:rsidR="00820315">
        <w:trPr>
          <w:trHeight w:val="1186"/>
        </w:trPr>
        <w:tc>
          <w:tcPr>
            <w:tcW w:w="1007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2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5371" w:type="dxa"/>
            <w:vAlign w:val="center"/>
          </w:tcPr>
          <w:p w:rsidR="00820315" w:rsidRDefault="000F6A11">
            <w:pPr>
              <w:jc w:val="center"/>
            </w:pPr>
            <w:r>
              <w:rPr>
                <w:rFonts w:hint="eastAsia"/>
              </w:rPr>
              <w:t>中国史、世界史</w:t>
            </w:r>
          </w:p>
        </w:tc>
      </w:tr>
    </w:tbl>
    <w:p w:rsidR="00820315" w:rsidRDefault="00820315"/>
    <w:p w:rsidR="00820315" w:rsidRDefault="00820315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820315" w:rsidRDefault="000F6A11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引进待遇(人民币，下同)</w:t>
      </w:r>
    </w:p>
    <w:tbl>
      <w:tblPr>
        <w:tblStyle w:val="ab"/>
        <w:tblW w:w="8701" w:type="dxa"/>
        <w:tblLayout w:type="fixed"/>
        <w:tblLook w:val="04A0" w:firstRow="1" w:lastRow="0" w:firstColumn="1" w:lastColumn="0" w:noHBand="0" w:noVBand="1"/>
      </w:tblPr>
      <w:tblGrid>
        <w:gridCol w:w="1366"/>
        <w:gridCol w:w="1719"/>
        <w:gridCol w:w="1776"/>
        <w:gridCol w:w="2610"/>
        <w:gridCol w:w="1230"/>
      </w:tblGrid>
      <w:tr w:rsidR="00820315">
        <w:tc>
          <w:tcPr>
            <w:tcW w:w="1366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引进类别</w:t>
            </w:r>
          </w:p>
        </w:tc>
        <w:tc>
          <w:tcPr>
            <w:tcW w:w="1719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安家费</w:t>
            </w:r>
          </w:p>
        </w:tc>
        <w:tc>
          <w:tcPr>
            <w:tcW w:w="1776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租房补贴</w:t>
            </w:r>
          </w:p>
        </w:tc>
        <w:tc>
          <w:tcPr>
            <w:tcW w:w="2610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薪酬及待遇</w:t>
            </w:r>
          </w:p>
        </w:tc>
        <w:tc>
          <w:tcPr>
            <w:tcW w:w="1230" w:type="dxa"/>
          </w:tcPr>
          <w:p w:rsidR="00820315" w:rsidRDefault="000F6A11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科研启动经费</w:t>
            </w:r>
          </w:p>
        </w:tc>
      </w:tr>
      <w:tr w:rsidR="00820315">
        <w:trPr>
          <w:trHeight w:val="1695"/>
        </w:trPr>
        <w:tc>
          <w:tcPr>
            <w:tcW w:w="1366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A类博士</w:t>
            </w:r>
          </w:p>
        </w:tc>
        <w:tc>
          <w:tcPr>
            <w:tcW w:w="1719" w:type="dxa"/>
          </w:tcPr>
          <w:p w:rsidR="00820315" w:rsidRDefault="000F6A1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26-31万元(自然学科,税后）；21-26万元（人文学科,税后）</w:t>
            </w:r>
          </w:p>
          <w:p w:rsidR="00820315" w:rsidRDefault="000F6A11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政府发放的安家费及生活补贴。学校发放部分按12个月平均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发放）</w:t>
            </w:r>
          </w:p>
        </w:tc>
        <w:tc>
          <w:tcPr>
            <w:tcW w:w="1776" w:type="dxa"/>
            <w:vMerge w:val="restart"/>
          </w:tcPr>
          <w:p w:rsidR="00820315" w:rsidRDefault="000F6A11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lastRenderedPageBreak/>
              <w:t>提供房租补贴1500元/月，最长24个月。</w:t>
            </w:r>
          </w:p>
        </w:tc>
        <w:tc>
          <w:tcPr>
            <w:tcW w:w="2610" w:type="dxa"/>
          </w:tcPr>
          <w:p w:rsidR="00820315" w:rsidRDefault="000F6A11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基本工资标准按国家政策兑现中级职称待遇（专十级），校内绩效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享受校聘副教授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待遇2年，2年后按实际职称兑现待遇</w:t>
            </w:r>
          </w:p>
        </w:tc>
        <w:tc>
          <w:tcPr>
            <w:tcW w:w="1230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人文学科类：10-15万元；自然学科类：15-20万元</w:t>
            </w:r>
          </w:p>
        </w:tc>
      </w:tr>
      <w:tr w:rsidR="00820315">
        <w:tc>
          <w:tcPr>
            <w:tcW w:w="1366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B类博士</w:t>
            </w:r>
          </w:p>
        </w:tc>
        <w:tc>
          <w:tcPr>
            <w:tcW w:w="1719" w:type="dxa"/>
          </w:tcPr>
          <w:p w:rsidR="00820315" w:rsidRDefault="000F6A11">
            <w:pPr>
              <w:pStyle w:val="a7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21-26万元（自然学科,税后）；16-21（人文学科,税后）</w:t>
            </w:r>
          </w:p>
          <w:p w:rsidR="00820315" w:rsidRDefault="000F6A11">
            <w:pPr>
              <w:pStyle w:val="a7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政府发放的安家费及生活补贴,学校发放部分按12个月平均发放）</w:t>
            </w:r>
          </w:p>
        </w:tc>
        <w:tc>
          <w:tcPr>
            <w:tcW w:w="1776" w:type="dxa"/>
            <w:vMerge/>
          </w:tcPr>
          <w:p w:rsidR="00820315" w:rsidRDefault="00820315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2610" w:type="dxa"/>
          </w:tcPr>
          <w:p w:rsidR="00820315" w:rsidRDefault="00820315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:rsidR="00820315" w:rsidRDefault="000F6A11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工资标准及校内绩效执行中级职称待遇（专十级）</w:t>
            </w:r>
          </w:p>
        </w:tc>
        <w:tc>
          <w:tcPr>
            <w:tcW w:w="1230" w:type="dxa"/>
            <w:vAlign w:val="center"/>
          </w:tcPr>
          <w:p w:rsidR="00820315" w:rsidRDefault="000F6A11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人文学科类：5-10万元；自然学科类：10-15万元</w:t>
            </w:r>
          </w:p>
        </w:tc>
      </w:tr>
    </w:tbl>
    <w:p w:rsidR="00820315" w:rsidRDefault="000F6A11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注：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A类博士指海内外知名院校或一流学科（英国《泰晤士高等教育》世界高校排名前200名或中科院等三部门教研函〔2017〕2号《关于公布世界一流大学和一流学科建设高校及建设学科名单的通知》刊登的高校或学科）毕业的博士，且近三年在本学科权威刊物上以第一作者或通讯作者（不包括非第一排名的共同作者）发布学术论文，自然学科类被SCI收录论文总IF≥10或单篇IF≥5，人文学科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类发表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中文核心期刊及以上学术论文≥3 篇，其中CSSCI(不含扩展版)、SSCI、A﹠HCI 来源论文≥2 篇”。</w:t>
      </w:r>
    </w:p>
    <w:p w:rsidR="00820315" w:rsidRDefault="000F6A11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特别优秀的人才不受上述限制，采用一事一议，具体面议。</w:t>
      </w:r>
    </w:p>
    <w:p w:rsidR="00820315" w:rsidRDefault="000F6A11">
      <w:pPr>
        <w:widowControl/>
        <w:spacing w:line="54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三、</w:t>
      </w:r>
      <w:bookmarkStart w:id="0" w:name="_GoBack"/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通迅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地址及联系方式：</w:t>
      </w:r>
    </w:p>
    <w:p w:rsidR="00820315" w:rsidRDefault="000F6A11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地址：四川省泸州市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龙马潭区香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林路1段1号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德诚楼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7楼西南医科大学人事处 </w:t>
      </w:r>
    </w:p>
    <w:p w:rsidR="00820315" w:rsidRDefault="000F6A11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电话：0830-3160509       　　联系人：杨老师/文老师</w:t>
      </w:r>
    </w:p>
    <w:p w:rsidR="00820315" w:rsidRDefault="000F6A11">
      <w:pPr>
        <w:widowControl/>
        <w:spacing w:line="54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电子邮箱:</w:t>
      </w:r>
      <w:r w:rsidRPr="000F6A11"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hr@swmu.edu.cn</w:t>
      </w:r>
      <w:r w:rsidRPr="000F6A11">
        <w:rPr>
          <w:rFonts w:asciiTheme="majorEastAsia" w:eastAsiaTheme="majorEastAsia" w:hAnsiTheme="majorEastAsia" w:cstheme="majorEastAsia"/>
          <w:color w:val="000000" w:themeColor="text1"/>
          <w:kern w:val="0"/>
          <w:sz w:val="24"/>
        </w:rPr>
        <w:t>,</w:t>
      </w:r>
      <w:hyperlink r:id="rId5" w:history="1">
        <w:r w:rsidRPr="000F6A11">
          <w:rPr>
            <w:rStyle w:val="aa"/>
            <w:rFonts w:hint="eastAsia"/>
            <w:color w:val="000000" w:themeColor="text1"/>
            <w:sz w:val="24"/>
            <w:u w:val="none"/>
          </w:rPr>
          <w:t>xnykdarsc@126.com</w:t>
        </w:r>
      </w:hyperlink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　　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邮　编：646000</w:t>
      </w:r>
    </w:p>
    <w:bookmarkEnd w:id="0"/>
    <w:p w:rsidR="00820315" w:rsidRDefault="000F6A11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2106295" cy="2106295"/>
            <wp:effectExtent l="0" t="0" r="8255" b="825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134235" cy="2134235"/>
            <wp:effectExtent l="0" t="0" r="18415" b="18415"/>
            <wp:docPr id="2" name="图片 2" descr="人事处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15" w:rsidRDefault="000F6A11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学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校官网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人事处官网</w:t>
      </w:r>
    </w:p>
    <w:p w:rsidR="00820315" w:rsidRDefault="000F6A11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四、来校考察路线：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1、直飞泸州：若无直达泸州云龙机场的航线请选择其他方式。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2、飞抵重庆：T2、T3航站楼乘至泸州的机场大巴专线，全天候滚动发车，购票及上车地点位于航站楼内，较方便；也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可拼车到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泸州，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泸渝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快的订票电话18980257979，票价150元/人，需在航班起飞前预定。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3、乘高铁到重庆：重庆北站—隆昌北站（约40分钟），出隆昌北站后有直达泸州的客运车。也可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4、飞抵成都：可选择坐客车直达泸州，也可在成都东站坐高铁到隆昌北站。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5、乘高铁到成都：成都东站—隆昌北站（约50分钟），出隆昌北站后有直达泸州的客运车。也可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:rsidR="00820315" w:rsidRDefault="000F6A11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来我校考察面试的博士，我校可报销一定的交通费及住宿费(须报销凭证)。具体请与我校工作人员联系。</w:t>
      </w:r>
    </w:p>
    <w:p w:rsidR="00820315" w:rsidRDefault="000F6A11">
      <w:pPr>
        <w:spacing w:line="54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             </w:t>
      </w:r>
    </w:p>
    <w:sectPr w:rsidR="0082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C99"/>
    <w:rsid w:val="0007413F"/>
    <w:rsid w:val="000E3AC3"/>
    <w:rsid w:val="000F6A11"/>
    <w:rsid w:val="00107AA3"/>
    <w:rsid w:val="00126024"/>
    <w:rsid w:val="001A4F90"/>
    <w:rsid w:val="00242B89"/>
    <w:rsid w:val="00287E5F"/>
    <w:rsid w:val="00320C99"/>
    <w:rsid w:val="00366EA7"/>
    <w:rsid w:val="003E5DCA"/>
    <w:rsid w:val="00405985"/>
    <w:rsid w:val="00462FAE"/>
    <w:rsid w:val="004F04D0"/>
    <w:rsid w:val="005C6121"/>
    <w:rsid w:val="0060271A"/>
    <w:rsid w:val="006453D3"/>
    <w:rsid w:val="00664D3C"/>
    <w:rsid w:val="00685165"/>
    <w:rsid w:val="006D218B"/>
    <w:rsid w:val="006E74B5"/>
    <w:rsid w:val="007443CC"/>
    <w:rsid w:val="007C1356"/>
    <w:rsid w:val="007C14C0"/>
    <w:rsid w:val="007F5BA6"/>
    <w:rsid w:val="00820315"/>
    <w:rsid w:val="00850326"/>
    <w:rsid w:val="00880C37"/>
    <w:rsid w:val="00896694"/>
    <w:rsid w:val="00955DBC"/>
    <w:rsid w:val="009C1DF4"/>
    <w:rsid w:val="009E53FA"/>
    <w:rsid w:val="00A313BD"/>
    <w:rsid w:val="00A40357"/>
    <w:rsid w:val="00B46550"/>
    <w:rsid w:val="00B743DB"/>
    <w:rsid w:val="00BA70BC"/>
    <w:rsid w:val="00BD2DC2"/>
    <w:rsid w:val="00C71B8C"/>
    <w:rsid w:val="00CD7F75"/>
    <w:rsid w:val="00D85792"/>
    <w:rsid w:val="00DE6092"/>
    <w:rsid w:val="00E0046A"/>
    <w:rsid w:val="00E038CE"/>
    <w:rsid w:val="00E33400"/>
    <w:rsid w:val="00EB303E"/>
    <w:rsid w:val="00ED21AC"/>
    <w:rsid w:val="00EE1995"/>
    <w:rsid w:val="00EE2556"/>
    <w:rsid w:val="00F17983"/>
    <w:rsid w:val="00F957BA"/>
    <w:rsid w:val="00FB4A4B"/>
    <w:rsid w:val="022079CC"/>
    <w:rsid w:val="02B73948"/>
    <w:rsid w:val="031A261D"/>
    <w:rsid w:val="033E2796"/>
    <w:rsid w:val="045C0AE9"/>
    <w:rsid w:val="04966823"/>
    <w:rsid w:val="05C63620"/>
    <w:rsid w:val="05E2163C"/>
    <w:rsid w:val="06D61CCD"/>
    <w:rsid w:val="071C42A1"/>
    <w:rsid w:val="077B60D6"/>
    <w:rsid w:val="07A7664E"/>
    <w:rsid w:val="09396E54"/>
    <w:rsid w:val="0C8C796B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F144F86"/>
    <w:rsid w:val="22F66E20"/>
    <w:rsid w:val="24396C3D"/>
    <w:rsid w:val="252A6B27"/>
    <w:rsid w:val="2688085F"/>
    <w:rsid w:val="28507EB6"/>
    <w:rsid w:val="28534109"/>
    <w:rsid w:val="29547DA0"/>
    <w:rsid w:val="2B2A6338"/>
    <w:rsid w:val="2D054A13"/>
    <w:rsid w:val="2D214C4C"/>
    <w:rsid w:val="2DFD567C"/>
    <w:rsid w:val="316F136C"/>
    <w:rsid w:val="32D315BE"/>
    <w:rsid w:val="34753B32"/>
    <w:rsid w:val="3477366C"/>
    <w:rsid w:val="35502D84"/>
    <w:rsid w:val="36AF749B"/>
    <w:rsid w:val="37F12939"/>
    <w:rsid w:val="3AF6158A"/>
    <w:rsid w:val="3D137103"/>
    <w:rsid w:val="3E962AEB"/>
    <w:rsid w:val="403937A0"/>
    <w:rsid w:val="415E0CE8"/>
    <w:rsid w:val="41B20C21"/>
    <w:rsid w:val="44C0302A"/>
    <w:rsid w:val="459B6179"/>
    <w:rsid w:val="467A4BD3"/>
    <w:rsid w:val="4D1B75F6"/>
    <w:rsid w:val="4D6550EB"/>
    <w:rsid w:val="4DC0378D"/>
    <w:rsid w:val="4F8928DD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F43AF5"/>
    <w:rsid w:val="5C1919AD"/>
    <w:rsid w:val="5CEE65D4"/>
    <w:rsid w:val="5D38490D"/>
    <w:rsid w:val="6320322B"/>
    <w:rsid w:val="649A3ED0"/>
    <w:rsid w:val="67996655"/>
    <w:rsid w:val="6ABB28BC"/>
    <w:rsid w:val="6AD93AB1"/>
    <w:rsid w:val="6ED807ED"/>
    <w:rsid w:val="71F87EF0"/>
    <w:rsid w:val="759629BA"/>
    <w:rsid w:val="764D1B32"/>
    <w:rsid w:val="770359BE"/>
    <w:rsid w:val="7B5B0073"/>
    <w:rsid w:val="7D1F6F6E"/>
    <w:rsid w:val="7D2F6177"/>
    <w:rsid w:val="7F5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5F1E7"/>
  <w15:docId w15:val="{C61957FA-24D2-4E42-A9A3-55E4680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0F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xnykdarsc@126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刘 建胜</cp:lastModifiedBy>
  <cp:revision>37</cp:revision>
  <cp:lastPrinted>2017-03-06T09:48:00Z</cp:lastPrinted>
  <dcterms:created xsi:type="dcterms:W3CDTF">2014-10-29T12:08:00Z</dcterms:created>
  <dcterms:modified xsi:type="dcterms:W3CDTF">2018-11-21T05:57:00Z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