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firstLine="63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kern w:val="0"/>
          <w:sz w:val="44"/>
          <w:szCs w:val="44"/>
        </w:rPr>
        <w:t>济宁市人才政策</w:t>
      </w:r>
    </w:p>
    <w:p>
      <w:pPr>
        <w:widowControl/>
        <w:spacing w:line="560" w:lineRule="atLeast"/>
        <w:ind w:firstLine="63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kern w:val="0"/>
          <w:sz w:val="32"/>
          <w:szCs w:val="32"/>
        </w:rPr>
      </w:pPr>
    </w:p>
    <w:p>
      <w:pPr>
        <w:widowControl/>
        <w:spacing w:line="560" w:lineRule="atLeas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围绕推进省级人才改革试验区建设，大力实施人才优先发展战略，全方位、个性化扶持人才创新创业，形成了高端人才集聚的“济宁现象”。对来济宁创新创业的海内外高层次人才，将给予配套政策支持；对推介人才来济宁落地的机构和个人，将给予优厚的奖励。</w:t>
      </w:r>
    </w:p>
    <w:p>
      <w:pPr>
        <w:widowControl/>
        <w:spacing w:line="560" w:lineRule="atLeas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顶尖人才。诺贝尔奖、菲尔兹奖、图灵奖、沃尔夫奖、普利兹克奖等国际大奖获得者；美国、英国、法国、德国、意大利、日本、韩国、加拿大、俄罗斯等国家最高学术权威机构会员；世界500强企业总部首席技术官；在国外著名高校、科研院所担任相当于教授职务的专家学者，熟悉相关产业领域和国际规则的创新创业人才；相当于上述层次的人才。通过项目资助、创业扶持、股权直投等方式，给予最高1亿元的综合资助，最高400万元的人才补贴，在济宁购买首套商品住房的，给予最高200万元的购房补贴。</w:t>
      </w:r>
    </w:p>
    <w:p>
      <w:pPr>
        <w:widowControl/>
        <w:spacing w:line="560" w:lineRule="atLeas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领军人才。在海外知名高校、科研院所担任相当于副教授以上专业技术职务，或在国际知名企业担任中高级管理职务，主持过与产业相关的重大科技计划项目的人才。给予最高200万元的经费资助，最高120万元的人才补贴；在济宁购买首套商品住房的，给予最高100万元的购房补贴。</w:t>
      </w:r>
    </w:p>
    <w:p>
      <w:pPr>
        <w:widowControl/>
        <w:spacing w:line="560" w:lineRule="atLeas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双创人才。拥有自主知识产权或核心技术，研发成果处于国内领先或国际先进水平的高层次人才。创业领军人才所占股权不低于30%，且为企业第一大股东；创新领军人才具有3年以上知名企业、高校、科研单位及相关机构关键岗位技术研发或管理工作经历。给予最高500万元项目经费资助，每人最高40万元人才补贴。</w:t>
      </w:r>
    </w:p>
    <w:p>
      <w:pPr>
        <w:widowControl/>
        <w:spacing w:line="560" w:lineRule="atLeas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精英人才。对全日制博士研究生，按照每人每月3000元的标准给予用人单位引才补贴，在济宁购买首套商品住房的，给予10万元的购房补贴，其中对全球TOP200高校的博士研究生给予20万元的购房补贴。对全日制硕士研究生，按照每人每月最高2000元的标准给予用人单位引才补贴，在济宁购买首套商品住房的，给予3万元的购房补贴。对全日制本科生，按照每人每月最高1000元的标准给予用人单位引才补贴，在济宁购买首套商品住房的，给予1万元的购房补贴。</w:t>
      </w:r>
    </w:p>
    <w:p>
      <w:pPr>
        <w:widowControl/>
        <w:spacing w:line="560" w:lineRule="atLeast"/>
        <w:ind w:firstLine="630"/>
        <w:jc w:val="left"/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儒学人才。对海内外知名儒学研究机构和高等院校中学术造诣高、业内影响力大的儒学研究高端人才，授予“山东省特聘儒学大家”“泰山学者”“尼山学者”称号，在薪酬待遇、科研经费、购房补贴等方面提供支持。选拔培养儒学国际传播人才，到海外锻炼提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90B"/>
    <w:rsid w:val="00295AEF"/>
    <w:rsid w:val="005019A1"/>
    <w:rsid w:val="00553786"/>
    <w:rsid w:val="006235F1"/>
    <w:rsid w:val="00AE690B"/>
    <w:rsid w:val="342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827</Characters>
  <Lines>6</Lines>
  <Paragraphs>1</Paragraphs>
  <TotalTime>1</TotalTime>
  <ScaleCrop>false</ScaleCrop>
  <LinksUpToDate>false</LinksUpToDate>
  <CharactersWithSpaces>970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2018-10-23T05:06:00Z</dcterms:created>
  <dc:creator>RSJ204</dc:creator>
  <cp:lastModifiedBy>徐锟 </cp:lastModifiedBy>
  <dcterms:modified xsi:type="dcterms:W3CDTF">2019-09-11T06:21:17Z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