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中国华电集团有限公司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年毕业生招聘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中国华电集团有限公司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中国华电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是2002年底国家电力体制改革时组建的国有独资发电企业，是中央直管的国有重要骨干企业。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中国华电</w:t>
      </w:r>
      <w:r>
        <w:rPr>
          <w:rFonts w:hint="default" w:ascii="仿宋_GB2312" w:hAnsi="仿宋_GB2312" w:eastAsia="仿宋_GB2312" w:cs="仿宋_GB2312"/>
          <w:sz w:val="32"/>
          <w:szCs w:val="32"/>
        </w:rPr>
        <w:t>主营业务为电力、热力生产和供应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default" w:ascii="仿宋_GB2312" w:hAnsi="仿宋_GB2312" w:eastAsia="仿宋_GB2312" w:cs="仿宋_GB2312"/>
          <w:sz w:val="32"/>
          <w:szCs w:val="32"/>
        </w:rPr>
        <w:t>与电力相关的煤炭等一次能源开发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2"/>
          <w:szCs w:val="32"/>
        </w:rPr>
        <w:t>相关专业技术服务。拥有电力、煤炭、科工、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产融</w:t>
      </w:r>
      <w:r>
        <w:rPr>
          <w:rFonts w:hint="default" w:ascii="仿宋_GB2312" w:hAnsi="仿宋_GB2312" w:eastAsia="仿宋_GB2312" w:cs="仿宋_GB2312"/>
          <w:sz w:val="32"/>
          <w:szCs w:val="32"/>
        </w:rPr>
        <w:t>等产业板块，资产及业务分布在全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个省（区、市）以及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“一带一路”沿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线20多个国家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是国内最大的天然气发电运营商，水电在运装机位列五大发电集团之首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电力板块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发电装机2.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亿千瓦，清洁能源装机占比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u w:val="none"/>
          <w:lang w:val="en-US" w:eastAsia="zh-CN"/>
        </w:rPr>
        <w:t>52.9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可再生能源装机突破9000万千瓦。</w:t>
      </w:r>
      <w:r>
        <w:rPr>
          <w:rFonts w:hint="default" w:ascii="Times New Roman" w:hAnsi="Times New Roman" w:eastAsia="黑体" w:cs="Times New Roman"/>
          <w:sz w:val="32"/>
          <w:szCs w:val="32"/>
        </w:rPr>
        <w:t>煤炭板块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保供产能6060万吨/年，拥有我国电力企业自主开发建设的第一座千万吨级特大型矿井等4个千万吨级煤矿，配套建设船舶运力34.7万载重吨、港口吞吐能力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0万吨。</w:t>
      </w:r>
      <w:r>
        <w:rPr>
          <w:rFonts w:hint="default" w:ascii="Times New Roman" w:hAnsi="Times New Roman" w:eastAsia="黑体" w:cs="Times New Roman"/>
          <w:sz w:val="32"/>
          <w:szCs w:val="32"/>
        </w:rPr>
        <w:t>科工板块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拥有国家级火力发电能效检测、分布式能源技术、燃气轮机监测诊断及运维服务技术中心、以火电与新能源为主的电力网络安全等多个科技创新平台，在国内率先研发成功覆盖煤电、燃机、水电、风电等电力全谱系“华电睿”系列国产自主可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工控产品。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产融</w:t>
      </w:r>
      <w:r>
        <w:rPr>
          <w:rFonts w:hint="default" w:ascii="Times New Roman" w:hAnsi="Times New Roman" w:eastAsia="黑体" w:cs="Times New Roman"/>
          <w:sz w:val="32"/>
          <w:szCs w:val="32"/>
        </w:rPr>
        <w:t>板块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拥有8家机构，取得财务公司、信托公司、证券、保险经纪、保理、融资租赁等6种金融（或类金融）牌照。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中国华电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连续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年获评国务院国资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委年度经营业绩考核A级企业，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连续13年上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"/>
        </w:rPr>
        <w:t>《财富》世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界500强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连续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u w:val="none"/>
        </w:rPr>
        <w:t>年入选中国500最具价值品牌榜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，连续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位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列“中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能源企业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碳中和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贡献力50强榜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单”第一。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面向未来，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华电坚持以习近平新时代中国特色社会主义思想为指导，完整、准确、全面贯彻新发展理念，服务构建新发展格局，加快形成新质生产力，全面深化改革，深入实施创新驱动发展和人才强企战略，稳中求进、以进促稳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大力推动高质量发展，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建设世界一流清洁低碳能源企业。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根据业务发展需要，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中国华电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启动2025年全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球“青年骏才”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校园招聘，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现将有关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信息公告如下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一、招聘类别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中国华电202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年毕业生招聘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包含“青年骏才”招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聘和校园招聘两类。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（一）“青年骏才”招聘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着眼为高端人才培养和年轻干部选拔积累资源，择优招录应届研究生。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建立全周期跟踪培养机制，量身定制个性化职业生涯规划和培养方案，实现从优秀毕业生到青年骏才的跨越式发展。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实施全面考核评价、激励机制，对考核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为“优秀”的博士、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硕士研究生进行重点培养，步入职业发展快车道。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着眼为中国华电所属企业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优化人才队伍结构、持续提升核心竞争力积蓄资源。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录用人员以本科及以上学历应届毕业生为主。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二、招聘条件与专业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（一）“青年骏才”招聘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面向国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内“双一流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985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211”工程院校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以及QS排名原则上前30的海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外知名院校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毕业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完成规定学业并获得相应学历、学位证书，综合成绩优秀。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2.招聘专业（详见附件）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能源动力类（含氢能、储能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、综合能源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）、电气类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（含智能电网、智慧能源）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、自动化类、计算机类（含数字化、人工智能）、电子信息类、水利水电类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土木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类（含结构力学）、海洋工程类、地质类、化学类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、金融类、财务会计类、经济类（含碳资产管理、技术经济）、法学类、新媒体类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）校园招聘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以大学本科及以上学历应届毕业生为主，完成规定学业并获得相应学历、学位，专业对口或相近。部分区域特别优秀的电力、煤炭等相关专业院校应届大专毕业生也可报名。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2.招聘专业（包含但不限于以下专业）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能源动力类（含氢能、储能）、机械类、电气类、自动化类、计算机类（含数字化、人工智能）、电子信息类、土木水利类、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采矿类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、化学类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、金融类、财务会计类、工商管理类、法学类、管理科学与工程类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原则上，国内院校毕业时间为2025年1月1日至2025年7月31日；海外及港澳台院校毕业时间为2024年8月1日至2025年7月31日（2025年8月31日前需取得教育部留学服务中心学历认证）。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简历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投递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→简历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筛选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→综合测评→确定录用名单→体检→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签约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宣讲安排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拟于10月下旬开始在国内知名高校开展校园巡回宣讲，具体行程安排敬请关注中国华电官方网站（http://www.chd.com.cn）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或中国华电官方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微信公众号。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五、投递渠道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（一）“青年骏才”招聘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“青年骏才”仅接受线上报名，符合“青年骏才”招聘条件的应聘人员需通过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专用通道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报名，请勿通过电子邮箱或其他途径投递简历。报名截止时间为2024年11月30日。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报名通道（电脑端）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：请登录http://hd.zp-pt.com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报名通道（移动端）：请扫描下方骏才招聘二维码报名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1432560" cy="1870075"/>
            <wp:effectExtent l="0" t="0" r="2540" b="9525"/>
            <wp:docPr id="3" name="图片 3" descr="骏才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骏才招聘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咨询电话：010-83567685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咨询时间：工作日09:00-12:00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80" w:firstLineChars="1025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14:00-17:00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（二）校园招聘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校园招聘需通过华电招聘平台报名，可关注相关直属单位发布的招聘公告。校园招聘报名时间以各直属单位公告发布时间为准。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报名通道（电脑端）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：请登录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https://chd.hotjob.cn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报名通道（移动端）：请扫描下方校园招聘二维码报名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02410" cy="1978025"/>
            <wp:effectExtent l="0" t="0" r="8890" b="3175"/>
            <wp:docPr id="4" name="图片 4" descr="校园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园招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咨询电话：请在官方招聘平台各直属单位发布职位详情中查看。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请应聘者准确、完整填写简历和相关资料信息，保证信息真实性，并对个人信息的真实性负责，如与事实不符，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中国华电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有权取消其应聘资格。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各直属单位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校园招聘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的招聘岗位、应聘条件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存在一定差异，请应聘者根据本人情况申报，避免无效申请。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）招聘过程中，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中国华电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将通过应聘者在线报名时填写的联系方式（包括手机、电子邮件等）与本人联系，请确保准确填写并保持通讯畅通。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中国华电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未成立或委托成立任何考试、命题机构或类似机构，从未编辑出版过任何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毕业生招聘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考试参考资料，从未向任何机构提供过考试相关的资料信息。在招聘过程中，不会向应聘者收取任何费用，请提高警惕，谨防受骗。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中国华电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有权根据岗位需求变化及报名情况等因素，调整、取消或终止个别岗位的招聘工作。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中国华电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官方网站（http://www.chd.com.cn）、华电招聘官方网站（https://chd.hotjob.cn）及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华电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发布校园招聘公告及相关信息的官方渠道，其他渠道均未获得我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授权或许可。</w:t>
      </w: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6ED68CF-AAF3-43E0-AFB9-D490B63858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53F6F1-1211-4CBE-899A-5993C1E171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74A90E5-05DD-4B96-9149-35ADC3DF33E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4646752-2E07-485C-BAAC-B2040067AE3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zZhOGZjYTliNGVmNGI0MTMxYjhmMTEzYjVhNDYifQ=="/>
  </w:docVars>
  <w:rsids>
    <w:rsidRoot w:val="00000000"/>
    <w:rsid w:val="01527EDF"/>
    <w:rsid w:val="02D464FC"/>
    <w:rsid w:val="03AF1619"/>
    <w:rsid w:val="03F82FC0"/>
    <w:rsid w:val="042913CB"/>
    <w:rsid w:val="06071298"/>
    <w:rsid w:val="06B807E5"/>
    <w:rsid w:val="06EF7070"/>
    <w:rsid w:val="071A149F"/>
    <w:rsid w:val="07516F96"/>
    <w:rsid w:val="083B16CD"/>
    <w:rsid w:val="08A6123D"/>
    <w:rsid w:val="09A84B40"/>
    <w:rsid w:val="0B2B1D53"/>
    <w:rsid w:val="0DB717F6"/>
    <w:rsid w:val="0DD03422"/>
    <w:rsid w:val="0DD203DE"/>
    <w:rsid w:val="0E1409F6"/>
    <w:rsid w:val="0EB775D4"/>
    <w:rsid w:val="0EDD528C"/>
    <w:rsid w:val="0FB215E0"/>
    <w:rsid w:val="10A1053B"/>
    <w:rsid w:val="10FA76E8"/>
    <w:rsid w:val="112A0531"/>
    <w:rsid w:val="11936FD1"/>
    <w:rsid w:val="11C368B1"/>
    <w:rsid w:val="12015CFE"/>
    <w:rsid w:val="12762B59"/>
    <w:rsid w:val="12AF4781"/>
    <w:rsid w:val="12BB273C"/>
    <w:rsid w:val="13985C26"/>
    <w:rsid w:val="145F2E2A"/>
    <w:rsid w:val="15017F65"/>
    <w:rsid w:val="1635775C"/>
    <w:rsid w:val="175956CC"/>
    <w:rsid w:val="17DE3E23"/>
    <w:rsid w:val="19894A02"/>
    <w:rsid w:val="19F64B34"/>
    <w:rsid w:val="1A385A6D"/>
    <w:rsid w:val="1A681208"/>
    <w:rsid w:val="1B34092A"/>
    <w:rsid w:val="1BC405B7"/>
    <w:rsid w:val="1C2E5379"/>
    <w:rsid w:val="1C5841A4"/>
    <w:rsid w:val="1CB57848"/>
    <w:rsid w:val="1D063C00"/>
    <w:rsid w:val="1D880AB9"/>
    <w:rsid w:val="1DA358F3"/>
    <w:rsid w:val="1DA63635"/>
    <w:rsid w:val="1DD54528"/>
    <w:rsid w:val="1DFD14A7"/>
    <w:rsid w:val="1E8F40C9"/>
    <w:rsid w:val="1EFF2FFD"/>
    <w:rsid w:val="1F015023"/>
    <w:rsid w:val="1F3233D2"/>
    <w:rsid w:val="1FEB3581"/>
    <w:rsid w:val="20062169"/>
    <w:rsid w:val="20573810"/>
    <w:rsid w:val="205B3006"/>
    <w:rsid w:val="20C20786"/>
    <w:rsid w:val="21090163"/>
    <w:rsid w:val="21594C04"/>
    <w:rsid w:val="2201708C"/>
    <w:rsid w:val="220646A2"/>
    <w:rsid w:val="22462CF1"/>
    <w:rsid w:val="22DB168B"/>
    <w:rsid w:val="22E569AE"/>
    <w:rsid w:val="235F22BC"/>
    <w:rsid w:val="23720241"/>
    <w:rsid w:val="23A61DE5"/>
    <w:rsid w:val="240F3CE2"/>
    <w:rsid w:val="249E5066"/>
    <w:rsid w:val="249E7725"/>
    <w:rsid w:val="24A667F6"/>
    <w:rsid w:val="24FD1D8D"/>
    <w:rsid w:val="254F32BB"/>
    <w:rsid w:val="25BA2F96"/>
    <w:rsid w:val="267C4F33"/>
    <w:rsid w:val="269E0838"/>
    <w:rsid w:val="26BA5C62"/>
    <w:rsid w:val="27D112AE"/>
    <w:rsid w:val="28194BB2"/>
    <w:rsid w:val="281C69CE"/>
    <w:rsid w:val="285A1D80"/>
    <w:rsid w:val="28681C13"/>
    <w:rsid w:val="28EB2659"/>
    <w:rsid w:val="28FE60D3"/>
    <w:rsid w:val="2939710B"/>
    <w:rsid w:val="29424212"/>
    <w:rsid w:val="29727856"/>
    <w:rsid w:val="29B82726"/>
    <w:rsid w:val="2A5341FD"/>
    <w:rsid w:val="2AA902C1"/>
    <w:rsid w:val="2B671B1E"/>
    <w:rsid w:val="2B807273"/>
    <w:rsid w:val="2BB27C9D"/>
    <w:rsid w:val="2C623FDF"/>
    <w:rsid w:val="2C656E18"/>
    <w:rsid w:val="2DAE1FD2"/>
    <w:rsid w:val="2E7763D7"/>
    <w:rsid w:val="2F045375"/>
    <w:rsid w:val="2F3445FD"/>
    <w:rsid w:val="2F4216D2"/>
    <w:rsid w:val="2F591BB5"/>
    <w:rsid w:val="30890978"/>
    <w:rsid w:val="30BF439A"/>
    <w:rsid w:val="31F507C8"/>
    <w:rsid w:val="32186458"/>
    <w:rsid w:val="32B55A55"/>
    <w:rsid w:val="33BB2870"/>
    <w:rsid w:val="3426251A"/>
    <w:rsid w:val="343C3F54"/>
    <w:rsid w:val="34711E4F"/>
    <w:rsid w:val="34983880"/>
    <w:rsid w:val="35583DAF"/>
    <w:rsid w:val="361C5DEB"/>
    <w:rsid w:val="36453593"/>
    <w:rsid w:val="36DF5796"/>
    <w:rsid w:val="3729371C"/>
    <w:rsid w:val="37C404E8"/>
    <w:rsid w:val="37DA5F5D"/>
    <w:rsid w:val="38A81BB8"/>
    <w:rsid w:val="3A726921"/>
    <w:rsid w:val="3AC0143A"/>
    <w:rsid w:val="3C236125"/>
    <w:rsid w:val="3C81109D"/>
    <w:rsid w:val="3CB903FC"/>
    <w:rsid w:val="3E210442"/>
    <w:rsid w:val="403326AF"/>
    <w:rsid w:val="404B79F8"/>
    <w:rsid w:val="404C53D7"/>
    <w:rsid w:val="40720CC9"/>
    <w:rsid w:val="411C3143"/>
    <w:rsid w:val="41BE244C"/>
    <w:rsid w:val="428C3C89"/>
    <w:rsid w:val="43503578"/>
    <w:rsid w:val="4508235C"/>
    <w:rsid w:val="454E30E6"/>
    <w:rsid w:val="467A2DE5"/>
    <w:rsid w:val="46B1432D"/>
    <w:rsid w:val="4708598A"/>
    <w:rsid w:val="47490A0A"/>
    <w:rsid w:val="47571378"/>
    <w:rsid w:val="478101A3"/>
    <w:rsid w:val="47CC5748"/>
    <w:rsid w:val="47E2084E"/>
    <w:rsid w:val="485215F2"/>
    <w:rsid w:val="48783354"/>
    <w:rsid w:val="48904B42"/>
    <w:rsid w:val="4AA743C5"/>
    <w:rsid w:val="4AD351BA"/>
    <w:rsid w:val="4BBD5522"/>
    <w:rsid w:val="4BC44509"/>
    <w:rsid w:val="4BEC18F2"/>
    <w:rsid w:val="4C121D12"/>
    <w:rsid w:val="4CC30B43"/>
    <w:rsid w:val="4D726D40"/>
    <w:rsid w:val="4DC61A09"/>
    <w:rsid w:val="4EC2357B"/>
    <w:rsid w:val="4EC866B8"/>
    <w:rsid w:val="4EEF1E97"/>
    <w:rsid w:val="4F732AC8"/>
    <w:rsid w:val="50250266"/>
    <w:rsid w:val="509E1DC6"/>
    <w:rsid w:val="518C536A"/>
    <w:rsid w:val="519038C0"/>
    <w:rsid w:val="51FD48CA"/>
    <w:rsid w:val="520D51E4"/>
    <w:rsid w:val="52473C9A"/>
    <w:rsid w:val="528374C6"/>
    <w:rsid w:val="52B778BC"/>
    <w:rsid w:val="53A72D40"/>
    <w:rsid w:val="53AD52E8"/>
    <w:rsid w:val="53AE2320"/>
    <w:rsid w:val="549E4143"/>
    <w:rsid w:val="54A379AB"/>
    <w:rsid w:val="5616659F"/>
    <w:rsid w:val="5728063B"/>
    <w:rsid w:val="572823EA"/>
    <w:rsid w:val="58062172"/>
    <w:rsid w:val="5A2B17E1"/>
    <w:rsid w:val="5A581238"/>
    <w:rsid w:val="5C447CC6"/>
    <w:rsid w:val="5CEB1EEF"/>
    <w:rsid w:val="5D292A17"/>
    <w:rsid w:val="5D5A7075"/>
    <w:rsid w:val="5E337132"/>
    <w:rsid w:val="5E767EDE"/>
    <w:rsid w:val="5F0A5C29"/>
    <w:rsid w:val="5F3D27AA"/>
    <w:rsid w:val="5F73441E"/>
    <w:rsid w:val="5FA65E31"/>
    <w:rsid w:val="60624BBE"/>
    <w:rsid w:val="60912DAE"/>
    <w:rsid w:val="60BA19B2"/>
    <w:rsid w:val="636B6B43"/>
    <w:rsid w:val="63E853DA"/>
    <w:rsid w:val="64DF6B47"/>
    <w:rsid w:val="64F953C5"/>
    <w:rsid w:val="655F16CC"/>
    <w:rsid w:val="66911D59"/>
    <w:rsid w:val="669B2BD8"/>
    <w:rsid w:val="66FA3298"/>
    <w:rsid w:val="688B0A2A"/>
    <w:rsid w:val="68B41D2F"/>
    <w:rsid w:val="68F50159"/>
    <w:rsid w:val="698E07D2"/>
    <w:rsid w:val="69CB5649"/>
    <w:rsid w:val="6AD35263"/>
    <w:rsid w:val="6AFE7291"/>
    <w:rsid w:val="6B615EBF"/>
    <w:rsid w:val="6B8F0831"/>
    <w:rsid w:val="6C240F7A"/>
    <w:rsid w:val="6CC30793"/>
    <w:rsid w:val="6CCE721A"/>
    <w:rsid w:val="6D176058"/>
    <w:rsid w:val="6DA46816"/>
    <w:rsid w:val="6E386F5E"/>
    <w:rsid w:val="6E6E472E"/>
    <w:rsid w:val="6E6F607C"/>
    <w:rsid w:val="6EF966EE"/>
    <w:rsid w:val="701A2DBF"/>
    <w:rsid w:val="715C7408"/>
    <w:rsid w:val="720158B9"/>
    <w:rsid w:val="72444124"/>
    <w:rsid w:val="725D3437"/>
    <w:rsid w:val="72DC1889"/>
    <w:rsid w:val="76A42AF0"/>
    <w:rsid w:val="76A43D38"/>
    <w:rsid w:val="7791148D"/>
    <w:rsid w:val="78600B26"/>
    <w:rsid w:val="788F1E71"/>
    <w:rsid w:val="7A0B3779"/>
    <w:rsid w:val="7ACA53E2"/>
    <w:rsid w:val="7B3F192C"/>
    <w:rsid w:val="7BD227A0"/>
    <w:rsid w:val="7C7A6994"/>
    <w:rsid w:val="7C8F3D1E"/>
    <w:rsid w:val="7CE3278B"/>
    <w:rsid w:val="7D7A1D54"/>
    <w:rsid w:val="7D965A4F"/>
    <w:rsid w:val="7EC65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2291</Words>
  <Characters>2493</Characters>
  <Lines>0</Lines>
  <Paragraphs>0</Paragraphs>
  <TotalTime>0</TotalTime>
  <ScaleCrop>false</ScaleCrop>
  <LinksUpToDate>false</LinksUpToDate>
  <CharactersWithSpaces>2494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2024-10-14T08:37:00Z</dcterms:created>
  <dc:creator>lenovo</dc:creator>
  <cp:lastModifiedBy>宋肇竹</cp:lastModifiedBy>
  <cp:lastPrinted>2024-10-23T12:11:00Z</cp:lastPrinted>
  <dcterms:modified xsi:type="dcterms:W3CDTF">2024-10-27T04:49:57Z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21FEA4027C604DA6B9BA681B105712F4_13</vt:lpwstr>
  </property>
</Properties>
</file>